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Toc12810"/>
      <w:r>
        <w:rPr>
          <w:rFonts w:hint="eastAsia"/>
          <w:b/>
          <w:bCs/>
          <w:sz w:val="44"/>
          <w:szCs w:val="44"/>
        </w:rPr>
        <w:t>学法考试平台系统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学习平台操作手册</w:t>
      </w:r>
      <w:bookmarkEnd w:id="0"/>
      <w:r>
        <w:rPr>
          <w:rFonts w:hint="eastAsia"/>
          <w:b/>
          <w:bCs/>
          <w:sz w:val="44"/>
          <w:szCs w:val="44"/>
          <w:lang w:eastAsia="zh-CN"/>
        </w:rPr>
        <w:t>（手机版）</w:t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4"/>
          <w:lang w:val="zh-CN"/>
        </w:rPr>
        <w:id w:val="21587138"/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>
          <w:pPr>
            <w:pStyle w:val="10"/>
            <w:jc w:val="center"/>
          </w:pPr>
          <w:r>
            <w:rPr>
              <w:sz w:val="30"/>
              <w:szCs w:val="30"/>
              <w:lang w:val="zh-CN"/>
            </w:rPr>
            <w:t>目录</w:t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_Toc13575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szCs w:val="32"/>
            </w:rPr>
            <w:t>一、登录</w:t>
          </w:r>
          <w:r>
            <w:tab/>
          </w:r>
          <w:r>
            <w:fldChar w:fldCharType="begin"/>
          </w:r>
          <w:r>
            <w:instrText xml:space="preserve"> PAGEREF _Toc13575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_Toc15911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</w:rPr>
            <w:t>1、登录</w:t>
          </w:r>
          <w:r>
            <w:tab/>
          </w:r>
          <w:r>
            <w:fldChar w:fldCharType="begin"/>
          </w:r>
          <w:r>
            <w:instrText xml:space="preserve"> PAGEREF _Toc15911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_Toc17461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</w:rPr>
            <w:t>2、</w:t>
          </w:r>
          <w:r>
            <w:rPr>
              <w:rFonts w:hint="eastAsia"/>
              <w:lang w:eastAsia="zh-CN"/>
            </w:rPr>
            <w:t>首页</w:t>
          </w:r>
          <w:r>
            <w:tab/>
          </w:r>
          <w:r>
            <w:fldChar w:fldCharType="begin"/>
          </w:r>
          <w:r>
            <w:instrText xml:space="preserve"> PAGEREF _Toc17461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_Toc6831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szCs w:val="32"/>
              <w:lang w:eastAsia="zh-CN"/>
            </w:rPr>
            <w:t>二</w:t>
          </w:r>
          <w:r>
            <w:rPr>
              <w:rFonts w:hint="eastAsia"/>
              <w:szCs w:val="32"/>
            </w:rPr>
            <w:t>、</w:t>
          </w:r>
          <w:r>
            <w:rPr>
              <w:rFonts w:hint="eastAsia"/>
              <w:szCs w:val="32"/>
              <w:lang w:eastAsia="zh-CN"/>
            </w:rPr>
            <w:t>普法读本</w:t>
          </w:r>
          <w:r>
            <w:tab/>
          </w:r>
          <w:r>
            <w:fldChar w:fldCharType="begin"/>
          </w:r>
          <w:r>
            <w:instrText xml:space="preserve"> PAGEREF _Toc6831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_Toc13953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lang w:val="en-US" w:eastAsia="zh-CN"/>
            </w:rPr>
            <w:t>1、</w:t>
          </w:r>
          <w:r>
            <w:rPr>
              <w:rFonts w:hint="eastAsia"/>
              <w:lang w:eastAsia="zh-CN"/>
            </w:rPr>
            <w:t>所有课程</w:t>
          </w:r>
          <w:r>
            <w:tab/>
          </w:r>
          <w:r>
            <w:fldChar w:fldCharType="begin"/>
          </w:r>
          <w:r>
            <w:instrText xml:space="preserve"> PAGEREF _Toc13953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_Toc14773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szCs w:val="22"/>
              <w:lang w:val="en-US" w:eastAsia="zh-CN"/>
            </w:rPr>
            <w:t>2、2017必修</w:t>
          </w:r>
          <w:r>
            <w:tab/>
          </w:r>
          <w:r>
            <w:fldChar w:fldCharType="begin"/>
          </w:r>
          <w:r>
            <w:instrText xml:space="preserve"> PAGEREF _Toc14773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_Toc20176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szCs w:val="32"/>
              <w:lang w:eastAsia="zh-CN"/>
            </w:rPr>
            <w:t>三</w:t>
          </w:r>
          <w:r>
            <w:rPr>
              <w:rFonts w:hint="eastAsia"/>
              <w:szCs w:val="32"/>
            </w:rPr>
            <w:t>、日常测验</w:t>
          </w:r>
          <w:r>
            <w:tab/>
          </w:r>
          <w:r>
            <w:fldChar w:fldCharType="begin"/>
          </w:r>
          <w:r>
            <w:instrText xml:space="preserve"> PAGEREF _Toc20176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_Toc2894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szCs w:val="32"/>
              <w:lang w:eastAsia="zh-CN"/>
            </w:rPr>
            <w:t>四</w:t>
          </w:r>
          <w:r>
            <w:rPr>
              <w:rFonts w:hint="eastAsia"/>
              <w:szCs w:val="32"/>
            </w:rPr>
            <w:t>、年度考试</w:t>
          </w:r>
          <w:r>
            <w:tab/>
          </w:r>
          <w:r>
            <w:fldChar w:fldCharType="begin"/>
          </w:r>
          <w:r>
            <w:instrText xml:space="preserve"> PAGEREF _Toc2894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HYPERLINK \l _Toc6802 </w:instrText>
          </w:r>
          <w:r>
            <w:rPr>
              <w:szCs w:val="28"/>
            </w:rPr>
            <w:fldChar w:fldCharType="separate"/>
          </w:r>
          <w:r>
            <w:rPr>
              <w:rFonts w:hint="eastAsia"/>
              <w:szCs w:val="32"/>
              <w:lang w:eastAsia="zh-CN"/>
            </w:rPr>
            <w:t>五</w:t>
          </w:r>
          <w:r>
            <w:rPr>
              <w:rFonts w:hint="eastAsia"/>
              <w:szCs w:val="32"/>
            </w:rPr>
            <w:t>、统计信息</w:t>
          </w:r>
          <w:r>
            <w:tab/>
          </w:r>
          <w:r>
            <w:fldChar w:fldCharType="begin"/>
          </w:r>
          <w:r>
            <w:instrText xml:space="preserve"> PAGEREF _Toc6802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rPr>
              <w:szCs w:val="28"/>
            </w:rPr>
            <w:fldChar w:fldCharType="end"/>
          </w:r>
        </w:p>
        <w:p>
          <w:r>
            <w:rPr>
              <w:szCs w:val="28"/>
            </w:rPr>
            <w:fldChar w:fldCharType="end"/>
          </w:r>
        </w:p>
      </w:sdtContent>
    </w:sdt>
    <w:p/>
    <w:p>
      <w:pPr>
        <w:widowControl/>
        <w:jc w:val="left"/>
      </w:pPr>
      <w:r>
        <w:br w:type="page"/>
      </w:r>
    </w:p>
    <w:p>
      <w:pPr>
        <w:pStyle w:val="3"/>
        <w:rPr>
          <w:sz w:val="32"/>
          <w:szCs w:val="32"/>
        </w:rPr>
      </w:pPr>
      <w:bookmarkStart w:id="1" w:name="_Toc480638723"/>
      <w:bookmarkStart w:id="2" w:name="_Toc13575"/>
      <w:r>
        <w:rPr>
          <w:rFonts w:hint="eastAsia"/>
          <w:sz w:val="32"/>
          <w:szCs w:val="32"/>
        </w:rPr>
        <w:t>一、登录</w:t>
      </w:r>
      <w:bookmarkEnd w:id="1"/>
      <w:bookmarkEnd w:id="2"/>
    </w:p>
    <w:p>
      <w:pPr>
        <w:pStyle w:val="4"/>
      </w:pPr>
      <w:bookmarkStart w:id="3" w:name="_Toc480638724"/>
      <w:bookmarkStart w:id="4" w:name="_Toc15911"/>
      <w:r>
        <w:rPr>
          <w:rFonts w:hint="eastAsia"/>
        </w:rPr>
        <w:t>1、登录</w:t>
      </w:r>
      <w:bookmarkEnd w:id="3"/>
      <w:bookmarkEnd w:id="4"/>
    </w:p>
    <w:p>
      <w:pPr>
        <w:ind w:firstLine="420"/>
      </w:pPr>
      <w:r>
        <w:rPr>
          <w:rFonts w:hint="eastAsia"/>
        </w:rPr>
        <w:t>打开平台</w:t>
      </w:r>
      <w:r>
        <w:rPr>
          <w:rFonts w:hint="eastAsia"/>
          <w:lang w:val="en-US" w:eastAsia="zh-CN"/>
        </w:rPr>
        <w:t>登陆界</w:t>
      </w:r>
      <w:r>
        <w:rPr>
          <w:rFonts w:hint="eastAsia"/>
        </w:rPr>
        <w:t>面，输入用户名、</w:t>
      </w:r>
      <w:r>
        <w:rPr>
          <w:rFonts w:hint="eastAsia"/>
          <w:lang w:val="en-US" w:eastAsia="zh-CN"/>
        </w:rPr>
        <w:t>手机号</w:t>
      </w:r>
      <w:r>
        <w:rPr>
          <w:rFonts w:hint="eastAsia"/>
        </w:rPr>
        <w:t>、验证码，点击登录，进入平台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如果忘记密码则需要联系上级管理员重置密码。如下图：</w:t>
      </w:r>
    </w:p>
    <w:p>
      <w:r>
        <w:drawing>
          <wp:inline distT="0" distB="0" distL="114300" distR="114300">
            <wp:extent cx="3580765" cy="6362065"/>
            <wp:effectExtent l="0" t="0" r="63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5" w:name="_Toc480638725"/>
      <w:bookmarkStart w:id="6" w:name="_Toc17461"/>
      <w:r>
        <w:rPr>
          <w:rFonts w:hint="eastAsia"/>
        </w:rPr>
        <w:t>2、</w:t>
      </w:r>
      <w:bookmarkEnd w:id="5"/>
      <w:r>
        <w:rPr>
          <w:rFonts w:hint="eastAsia"/>
          <w:lang w:eastAsia="zh-CN"/>
        </w:rPr>
        <w:t>首页</w:t>
      </w:r>
      <w:bookmarkEnd w:id="6"/>
    </w:p>
    <w:p>
      <w:pPr>
        <w:ind w:firstLine="420"/>
      </w:pPr>
      <w:r>
        <w:rPr>
          <w:rFonts w:hint="eastAsia"/>
        </w:rPr>
        <w:t>登陆成功，跳转到</w:t>
      </w:r>
      <w:r>
        <w:rPr>
          <w:rFonts w:hint="eastAsia"/>
          <w:lang w:val="en-US" w:eastAsia="zh-CN"/>
        </w:rPr>
        <w:t>首页</w:t>
      </w:r>
      <w:r>
        <w:rPr>
          <w:rFonts w:hint="eastAsia"/>
        </w:rPr>
        <w:t>。</w:t>
      </w:r>
      <w:r>
        <w:rPr>
          <w:rFonts w:hint="eastAsia"/>
          <w:lang w:eastAsia="zh-CN"/>
        </w:rPr>
        <w:t>首页</w:t>
      </w:r>
      <w:r>
        <w:rPr>
          <w:rFonts w:hint="eastAsia"/>
        </w:rPr>
        <w:t>右上角有</w:t>
      </w:r>
      <w:r>
        <w:rPr>
          <w:rFonts w:hint="eastAsia"/>
          <w:lang w:val="en-US" w:eastAsia="zh-CN"/>
        </w:rPr>
        <w:t>两个</w:t>
      </w:r>
      <w:r>
        <w:rPr>
          <w:rFonts w:hint="eastAsia"/>
        </w:rPr>
        <w:t>图标按钮，分别是</w:t>
      </w:r>
      <w:r>
        <w:rPr>
          <w:rFonts w:hint="eastAsia"/>
          <w:lang w:eastAsia="zh-CN"/>
        </w:rPr>
        <w:t>“</w:t>
      </w:r>
      <w:r>
        <w:rPr>
          <w:rFonts w:hint="eastAsia"/>
        </w:rPr>
        <w:t>系统通知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个人</w:t>
      </w:r>
      <w:r>
        <w:rPr>
          <w:rFonts w:hint="eastAsia"/>
        </w:rPr>
        <w:t>信息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。其</w:t>
      </w:r>
      <w:r>
        <w:rPr>
          <w:rFonts w:hint="eastAsia"/>
          <w:lang w:eastAsia="zh-CN"/>
        </w:rPr>
        <w:t>左边</w:t>
      </w:r>
      <w:r>
        <w:rPr>
          <w:rFonts w:hint="eastAsia"/>
        </w:rPr>
        <w:t>是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快速搜索书籍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</w:t>
      </w:r>
      <w:r>
        <w:rPr>
          <w:rFonts w:hint="eastAsia"/>
          <w:lang w:eastAsia="zh-CN"/>
        </w:rPr>
        <w:t>根据课程名称或章节名称</w:t>
      </w:r>
      <w:r>
        <w:rPr>
          <w:rFonts w:hint="eastAsia"/>
          <w:lang w:val="en-US" w:eastAsia="zh-CN"/>
        </w:rPr>
        <w:t>搜索书籍</w:t>
      </w:r>
      <w:r>
        <w:rPr>
          <w:rFonts w:hint="eastAsia"/>
        </w:rPr>
        <w:t>。主页</w:t>
      </w:r>
      <w:r>
        <w:rPr>
          <w:rFonts w:hint="eastAsia"/>
          <w:lang w:eastAsia="zh-CN"/>
        </w:rPr>
        <w:t>最</w:t>
      </w:r>
      <w:r>
        <w:rPr>
          <w:rFonts w:hint="eastAsia"/>
          <w:lang w:val="en-US" w:eastAsia="zh-CN"/>
        </w:rPr>
        <w:t>下面</w:t>
      </w:r>
      <w:r>
        <w:rPr>
          <w:rFonts w:hint="eastAsia"/>
          <w:lang w:eastAsia="zh-CN"/>
        </w:rPr>
        <w:t>的</w:t>
      </w:r>
      <w:r>
        <w:rPr>
          <w:rFonts w:hint="eastAsia"/>
          <w:lang w:val="en-US" w:eastAsia="zh-CN"/>
        </w:rPr>
        <w:t>五个导航分别是“首页”按钮；“普法读本”按钮，即所有的课程读本；“日常测验”按钮，方便学员进行测验自己的学法情况；“年度考试”按钮，让学员参加年度考试；“统计信息”按钮，统计出学员得分情况</w:t>
      </w:r>
      <w:r>
        <w:rPr>
          <w:rFonts w:hint="eastAsia"/>
        </w:rPr>
        <w:t>。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快速搜索书籍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正下方是本年度2017年学习的学习进度，以及考试安排通知。“学习进度”下方是欢迎登陆，而欢迎登陆的下方便是“推荐阅读”的书籍列表，其中可以点击查看更多。“推荐阅读”的下方是“2017年必修课程”列表，必修课程进行了分类统计。</w:t>
      </w:r>
      <w:r>
        <w:rPr>
          <w:rFonts w:hint="eastAsia"/>
        </w:rPr>
        <w:t>如下图：</w:t>
      </w:r>
    </w:p>
    <w:p>
      <w:r>
        <w:drawing>
          <wp:inline distT="0" distB="0" distL="114300" distR="114300">
            <wp:extent cx="3590290" cy="6352540"/>
            <wp:effectExtent l="0" t="0" r="10160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left" w:pos="6999"/>
        </w:tabs>
        <w:ind w:firstLine="420" w:firstLineChars="0"/>
        <w:outlineLvl w:val="3"/>
        <w:rPr>
          <w:rFonts w:hint="eastAsia"/>
          <w:lang w:eastAsia="zh-CN"/>
        </w:rPr>
      </w:pPr>
      <w:r>
        <w:rPr>
          <w:rFonts w:hint="eastAsia"/>
          <w:lang w:eastAsia="zh-CN"/>
        </w:rPr>
        <w:t>系统通知</w:t>
      </w:r>
      <w:r>
        <w:rPr>
          <w:rFonts w:hint="eastAsia"/>
          <w:lang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点击“系统通知”图标按钮查看所有系统通知列表。如下图：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561715" cy="6343015"/>
            <wp:effectExtent l="0" t="0" r="635" b="63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点击</w:t>
      </w:r>
      <w:r>
        <w:rPr>
          <w:rFonts w:hint="eastAsia"/>
          <w:lang w:val="en-US" w:eastAsia="zh-CN"/>
        </w:rPr>
        <w:t>单个</w:t>
      </w:r>
      <w:r>
        <w:rPr>
          <w:rFonts w:hint="eastAsia"/>
          <w:lang w:eastAsia="zh-CN"/>
        </w:rPr>
        <w:t>通知查看该通知。如下图：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590290" cy="6343015"/>
            <wp:effectExtent l="0" t="0" r="10160" b="6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 w:firstLineChars="0"/>
        <w:outlineLvl w:val="3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个人</w:t>
      </w:r>
      <w:r>
        <w:rPr>
          <w:rFonts w:hint="eastAsia"/>
          <w:lang w:eastAsia="zh-CN"/>
        </w:rPr>
        <w:t>信息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个人信息”下有显示姓名和单位名称。中间部分是“我的收藏”，“学习记录”，“测验记录”，“考试记录”以及“修改信息”五个管理功能。最下方便是“账号解绑”，点击则安全退出到登陆界面。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80765" cy="6362065"/>
            <wp:effectExtent l="0" t="0" r="635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我的收藏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点击查看我收藏的书籍或视频，结果如下图：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571240" cy="6352540"/>
            <wp:effectExtent l="0" t="0" r="10160" b="1016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点击查看按钮进入该书籍或视频，进而方便学习。如下图：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61715" cy="6362065"/>
            <wp:effectExtent l="0" t="0" r="635" b="63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b、学习记录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点击“学习记录”查看所有学习记录信息。如下图：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71240" cy="6343015"/>
            <wp:effectExtent l="0" t="0" r="10160" b="63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c、测验记录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点击“测验记录”查看所有测验记录。如下图：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80765" cy="6371590"/>
            <wp:effectExtent l="0" t="0" r="635" b="1016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7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d、考试记录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点击“考试记录”查看所有考试记录。如下图：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590290" cy="6371590"/>
            <wp:effectExtent l="0" t="0" r="10160" b="1016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7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e、修改信息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点击修改信息可以进行个人信息的修改，如下图：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71240" cy="6352540"/>
            <wp:effectExtent l="0" t="0" r="10160" b="1016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32"/>
          <w:szCs w:val="32"/>
        </w:rPr>
      </w:pPr>
      <w:bookmarkStart w:id="7" w:name="_Toc6831"/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普法读本</w:t>
      </w:r>
      <w:bookmarkEnd w:id="7"/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</w:rPr>
        <w:t>点击</w:t>
      </w:r>
      <w:r>
        <w:rPr>
          <w:rFonts w:hint="eastAsia"/>
          <w:lang w:eastAsia="zh-CN"/>
        </w:rPr>
        <w:t>最</w:t>
      </w:r>
      <w:r>
        <w:rPr>
          <w:rFonts w:hint="eastAsia"/>
          <w:lang w:val="en-US" w:eastAsia="zh-CN"/>
        </w:rPr>
        <w:t>下方</w:t>
      </w:r>
      <w:r>
        <w:rPr>
          <w:rFonts w:hint="eastAsia"/>
        </w:rPr>
        <w:t>“</w:t>
      </w:r>
      <w:r>
        <w:rPr>
          <w:rFonts w:hint="eastAsia"/>
          <w:lang w:eastAsia="zh-CN"/>
        </w:rPr>
        <w:t>普法读本</w:t>
      </w:r>
      <w:r>
        <w:rPr>
          <w:rFonts w:hint="eastAsia"/>
        </w:rPr>
        <w:t>”导航菜单</w:t>
      </w:r>
      <w:r>
        <w:rPr>
          <w:rFonts w:hint="eastAsia"/>
          <w:lang w:eastAsia="zh-CN"/>
        </w:rPr>
        <w:t>，进入普法读本的学习。其中有“所有课程”和“</w:t>
      </w:r>
      <w:r>
        <w:rPr>
          <w:rFonts w:hint="eastAsia"/>
          <w:lang w:val="en-US" w:eastAsia="zh-CN"/>
        </w:rPr>
        <w:t>2017必修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以及“推荐课程”三</w:t>
      </w:r>
      <w:r>
        <w:rPr>
          <w:rFonts w:hint="eastAsia"/>
          <w:lang w:eastAsia="zh-CN"/>
        </w:rPr>
        <w:t>个功能。如下图：</w:t>
      </w:r>
    </w:p>
    <w:p>
      <w:r>
        <w:drawing>
          <wp:inline distT="0" distB="0" distL="114300" distR="114300">
            <wp:extent cx="3580765" cy="6343015"/>
            <wp:effectExtent l="0" t="0" r="635" b="635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firstLine="420" w:firstLineChars="0"/>
        <w:outlineLvl w:val="2"/>
        <w:rPr>
          <w:rFonts w:hint="eastAsia"/>
          <w:lang w:eastAsia="zh-CN"/>
        </w:rPr>
      </w:pPr>
      <w:bookmarkStart w:id="8" w:name="_Toc13953"/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所有课程</w:t>
      </w:r>
      <w:bookmarkEnd w:id="8"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筛选课程，点击筛选按钮，按行业分类选中，按部门分类选中，点击筛选按钮查询普法读本（若不进行选中则查询全部，有默认选中）。还有“只看推荐”功能，点击选中则只查看推荐的普法读本。进入读本可以对读本进行收藏或学习。首先是筛选操作，如下图：</w:t>
      </w:r>
    </w:p>
    <w:p>
      <w:r>
        <w:drawing>
          <wp:inline distT="0" distB="0" distL="114300" distR="114300">
            <wp:extent cx="3590290" cy="6381115"/>
            <wp:effectExtent l="0" t="0" r="10160" b="63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8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所有课程显示如下图：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71240" cy="6352540"/>
            <wp:effectExtent l="0" t="0" r="10160" b="10160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点击学习，进入读本，在此页面中我们可以收藏该读本，同时我们能看到读本的作者，</w:t>
      </w:r>
      <w:r>
        <w:rPr>
          <w:rFonts w:hint="eastAsia"/>
          <w:color w:val="FF0000"/>
          <w:lang w:eastAsia="zh-CN"/>
        </w:rPr>
        <w:t>学习需要的时间，可获得的学分</w:t>
      </w:r>
      <w:r>
        <w:rPr>
          <w:rFonts w:hint="eastAsia"/>
          <w:lang w:eastAsia="zh-CN"/>
        </w:rPr>
        <w:t>以及发布的时间。如下图：</w:t>
      </w:r>
    </w:p>
    <w:p>
      <w:r>
        <w:drawing>
          <wp:inline distT="0" distB="0" distL="114300" distR="114300">
            <wp:extent cx="3599815" cy="6314440"/>
            <wp:effectExtent l="0" t="0" r="635" b="10160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31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点击章节，进入该章节进行学习，</w:t>
      </w:r>
      <w:r>
        <w:rPr>
          <w:rFonts w:hint="eastAsia"/>
          <w:color w:val="FF0000"/>
          <w:lang w:val="en-US" w:eastAsia="zh-CN"/>
        </w:rPr>
        <w:t>圆圈学分变蓝表示已获得学分，如果是灰色则需要继续学习。</w:t>
      </w:r>
      <w:r>
        <w:rPr>
          <w:rFonts w:hint="eastAsia"/>
          <w:lang w:val="en-US" w:eastAsia="zh-CN"/>
        </w:rPr>
        <w:t>如下图：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71240" cy="6390640"/>
            <wp:effectExtent l="0" t="0" r="10160" b="1016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9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firstLine="420" w:firstLineChars="0"/>
        <w:outlineLvl w:val="2"/>
        <w:rPr>
          <w:rFonts w:hint="eastAsia"/>
          <w:szCs w:val="22"/>
          <w:lang w:val="en-US" w:eastAsia="zh-CN"/>
        </w:rPr>
      </w:pPr>
      <w:bookmarkStart w:id="9" w:name="_Toc14773"/>
      <w:r>
        <w:rPr>
          <w:rFonts w:hint="eastAsia"/>
          <w:szCs w:val="22"/>
          <w:lang w:val="en-US" w:eastAsia="zh-CN"/>
        </w:rPr>
        <w:t>2、2017必修</w:t>
      </w:r>
      <w:bookmarkEnd w:id="9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点击2017必修，我们可以看到2017必修的普法读本，有课程名称，学习进度。点击一个读本即可进入学习。如下图：</w:t>
      </w:r>
    </w:p>
    <w:p>
      <w:r>
        <w:drawing>
          <wp:inline distT="0" distB="0" distL="114300" distR="114300">
            <wp:extent cx="3599815" cy="6352540"/>
            <wp:effectExtent l="0" t="0" r="635" b="1016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点击进行学习，进入读本界面。如下图：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71240" cy="6362065"/>
            <wp:effectExtent l="0" t="0" r="10160" b="635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32"/>
          <w:szCs w:val="32"/>
        </w:rPr>
      </w:pPr>
      <w:bookmarkStart w:id="10" w:name="_Toc480638727"/>
      <w:bookmarkStart w:id="11" w:name="_Toc20176"/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、日常测验</w:t>
      </w:r>
      <w:bookmarkEnd w:id="10"/>
      <w:bookmarkEnd w:id="11"/>
    </w:p>
    <w:p>
      <w:pPr>
        <w:ind w:firstLine="420"/>
      </w:pPr>
      <w:r>
        <w:rPr>
          <w:rFonts w:hint="eastAsia"/>
        </w:rPr>
        <w:t>点击</w:t>
      </w:r>
      <w:r>
        <w:rPr>
          <w:rFonts w:hint="eastAsia"/>
          <w:lang w:eastAsia="zh-CN"/>
        </w:rPr>
        <w:t>最</w:t>
      </w:r>
      <w:r>
        <w:rPr>
          <w:rFonts w:hint="eastAsia"/>
          <w:lang w:val="en-US" w:eastAsia="zh-CN"/>
        </w:rPr>
        <w:t>下方</w:t>
      </w:r>
      <w:r>
        <w:rPr>
          <w:rFonts w:hint="eastAsia"/>
        </w:rPr>
        <w:t>“日常测验”导航菜单，进入日常测验，</w:t>
      </w:r>
      <w:r>
        <w:rPr>
          <w:rFonts w:hint="eastAsia"/>
          <w:lang w:val="en-US" w:eastAsia="zh-CN"/>
        </w:rPr>
        <w:t>首先筛选题库，</w:t>
      </w:r>
      <w:r>
        <w:rPr>
          <w:rFonts w:hint="eastAsia"/>
          <w:lang w:eastAsia="zh-CN"/>
        </w:rPr>
        <w:t>选择按行业分类，选择按部门分类进行筛选</w:t>
      </w:r>
      <w:r>
        <w:rPr>
          <w:rFonts w:hint="eastAsia"/>
          <w:lang w:val="en-US" w:eastAsia="zh-CN"/>
        </w:rPr>
        <w:t>题库</w:t>
      </w:r>
      <w:r>
        <w:rPr>
          <w:rFonts w:hint="eastAsia"/>
        </w:rPr>
        <w:t>。如下图：</w:t>
      </w:r>
    </w:p>
    <w:p>
      <w:r>
        <w:drawing>
          <wp:inline distT="0" distB="0" distL="114300" distR="114300">
            <wp:extent cx="3571240" cy="6352540"/>
            <wp:effectExtent l="0" t="0" r="10160" b="10160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选好题库（题库数量最好充足，方便下面的操作）</w:t>
      </w:r>
      <w:r>
        <w:rPr>
          <w:rFonts w:hint="eastAsia"/>
          <w:lang w:eastAsia="zh-CN"/>
        </w:rPr>
        <w:t>，点击“下一步，选择题型”。如下图：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590290" cy="6381115"/>
            <wp:effectExtent l="0" t="0" r="10160" b="635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8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在“请</w:t>
      </w:r>
      <w:r>
        <w:rPr>
          <w:rFonts w:hint="eastAsia"/>
          <w:lang w:eastAsia="zh-CN"/>
        </w:rPr>
        <w:t>选择题型组成”</w:t>
      </w:r>
      <w:r>
        <w:rPr>
          <w:rFonts w:hint="eastAsia"/>
          <w:lang w:val="en-US" w:eastAsia="zh-CN"/>
        </w:rPr>
        <w:t>中选好题型组成，</w:t>
      </w:r>
      <w:r>
        <w:rPr>
          <w:rFonts w:hint="eastAsia"/>
          <w:lang w:eastAsia="zh-CN"/>
        </w:rPr>
        <w:t>点击开始测验按钮</w:t>
      </w:r>
      <w:r>
        <w:rPr>
          <w:rFonts w:hint="eastAsia"/>
        </w:rPr>
        <w:t>进入日常测验</w:t>
      </w:r>
      <w:r>
        <w:rPr>
          <w:rFonts w:hint="eastAsia"/>
          <w:lang w:eastAsia="zh-CN"/>
        </w:rPr>
        <w:t>。如下图：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590290" cy="6362065"/>
            <wp:effectExtent l="0" t="0" r="10160" b="635"/>
            <wp:docPr id="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其中</w:t>
      </w:r>
      <w:r>
        <w:rPr>
          <w:rFonts w:hint="eastAsia"/>
          <w:lang w:val="en-US" w:eastAsia="zh-CN"/>
        </w:rPr>
        <w:t>最下方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个图标按钮分别是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退出”</w:t>
      </w:r>
      <w:r>
        <w:rPr>
          <w:rFonts w:hint="eastAsia"/>
        </w:rPr>
        <w:t>，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时间提醒”以及“</w:t>
      </w:r>
      <w:r>
        <w:rPr>
          <w:rFonts w:hint="eastAsia"/>
        </w:rPr>
        <w:t>考生信息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。点击退出即可退出测验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时间提醒可以</w:t>
      </w:r>
      <w:r>
        <w:rPr>
          <w:rFonts w:hint="eastAsia"/>
        </w:rPr>
        <w:t>设置提醒可以提醒考生还有多少时间测验将结束。个人信息可以确认考生的信息。“</w:t>
      </w:r>
      <w:r>
        <w:rPr>
          <w:rFonts w:hint="eastAsia"/>
          <w:lang w:val="en-US" w:eastAsia="zh-CN"/>
        </w:rPr>
        <w:t>考生信息</w:t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上</w:t>
      </w:r>
      <w:r>
        <w:rPr>
          <w:rFonts w:hint="eastAsia"/>
        </w:rPr>
        <w:t>方是正在倒计时的剩余测验时间。</w:t>
      </w:r>
      <w:r>
        <w:rPr>
          <w:rFonts w:hint="eastAsia"/>
          <w:lang w:val="en-US" w:eastAsia="zh-CN"/>
        </w:rPr>
        <w:t>左上角还有一个“交卷”按钮。</w:t>
      </w:r>
      <w:r>
        <w:rPr>
          <w:rFonts w:hint="eastAsia"/>
        </w:rPr>
        <w:t>如下图：</w:t>
      </w:r>
    </w:p>
    <w:p>
      <w:r>
        <w:drawing>
          <wp:inline distT="0" distB="0" distL="114300" distR="114300">
            <wp:extent cx="3599815" cy="6362065"/>
            <wp:effectExtent l="0" t="0" r="635" b="635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作答完成，点击交卷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确定交卷。</w:t>
      </w:r>
      <w:r>
        <w:rPr>
          <w:rFonts w:hint="eastAsia"/>
        </w:rPr>
        <w:t>测验结束，测验倒计时停止，得出测验结果，可以查看到测验得分。</w:t>
      </w:r>
      <w:r>
        <w:rPr>
          <w:rFonts w:hint="eastAsia"/>
          <w:lang w:val="en-US" w:eastAsia="zh-CN"/>
        </w:rPr>
        <w:t>之后可查看正确答案。如下图：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90290" cy="6371590"/>
            <wp:effectExtent l="0" t="0" r="10160" b="10160"/>
            <wp:docPr id="2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7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32"/>
          <w:szCs w:val="32"/>
        </w:rPr>
      </w:pPr>
      <w:bookmarkStart w:id="12" w:name="_Toc480638728"/>
      <w:bookmarkStart w:id="13" w:name="_Toc2894"/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、年度考试</w:t>
      </w:r>
      <w:bookmarkEnd w:id="12"/>
      <w:bookmarkEnd w:id="13"/>
    </w:p>
    <w:p>
      <w:pPr>
        <w:ind w:firstLine="420"/>
      </w:pPr>
      <w:r>
        <w:rPr>
          <w:rFonts w:hint="eastAsia"/>
        </w:rPr>
        <w:t>点击</w:t>
      </w:r>
      <w:r>
        <w:rPr>
          <w:rFonts w:hint="eastAsia"/>
          <w:lang w:eastAsia="zh-CN"/>
        </w:rPr>
        <w:t>最</w:t>
      </w:r>
      <w:r>
        <w:rPr>
          <w:rFonts w:hint="eastAsia"/>
          <w:lang w:val="en-US" w:eastAsia="zh-CN"/>
        </w:rPr>
        <w:t>下方的</w:t>
      </w:r>
      <w:r>
        <w:rPr>
          <w:rFonts w:hint="eastAsia"/>
        </w:rPr>
        <w:t>“年度考试”导航菜单。可以</w:t>
      </w:r>
      <w:r>
        <w:rPr>
          <w:rFonts w:hint="eastAsia"/>
          <w:lang w:eastAsia="zh-CN"/>
        </w:rPr>
        <w:t>查看</w:t>
      </w:r>
      <w:r>
        <w:rPr>
          <w:rFonts w:hint="eastAsia"/>
        </w:rPr>
        <w:t>本年度考试信息</w:t>
      </w:r>
      <w:r>
        <w:rPr>
          <w:rFonts w:hint="eastAsia"/>
          <w:lang w:eastAsia="zh-CN"/>
        </w:rPr>
        <w:t>，其中</w:t>
      </w:r>
      <w:r>
        <w:rPr>
          <w:rFonts w:hint="eastAsia"/>
          <w:lang w:val="en-US" w:eastAsia="zh-CN"/>
        </w:rPr>
        <w:t>最上面</w:t>
      </w:r>
      <w:r>
        <w:rPr>
          <w:rFonts w:hint="eastAsia"/>
          <w:lang w:eastAsia="zh-CN"/>
        </w:rPr>
        <w:t>的</w:t>
      </w:r>
      <w:r>
        <w:rPr>
          <w:rFonts w:hint="eastAsia"/>
          <w:lang w:val="en-US" w:eastAsia="zh-CN"/>
        </w:rPr>
        <w:t>是</w:t>
      </w:r>
      <w:r>
        <w:rPr>
          <w:rFonts w:hint="eastAsia"/>
          <w:lang w:eastAsia="zh-CN"/>
        </w:rPr>
        <w:t>“参加考试注意事项”，</w:t>
      </w:r>
      <w:r>
        <w:rPr>
          <w:rFonts w:hint="eastAsia"/>
          <w:lang w:val="en-US" w:eastAsia="zh-CN"/>
        </w:rPr>
        <w:t>中间部分是</w:t>
      </w:r>
      <w:r>
        <w:rPr>
          <w:rFonts w:hint="eastAsia"/>
          <w:lang w:eastAsia="zh-CN"/>
        </w:rPr>
        <w:t>“最近考试得分”的记录，最下方的“近期考试安排”。</w:t>
      </w:r>
      <w:r>
        <w:rPr>
          <w:rFonts w:hint="eastAsia"/>
        </w:rPr>
        <w:t>如下图：</w:t>
      </w:r>
    </w:p>
    <w:p>
      <w:r>
        <w:drawing>
          <wp:inline distT="0" distB="0" distL="114300" distR="114300">
            <wp:extent cx="3580765" cy="6343015"/>
            <wp:effectExtent l="0" t="0" r="635" b="63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有正在考试的考试安排点击“进入考场”，</w:t>
      </w:r>
      <w:r>
        <w:rPr>
          <w:rFonts w:hint="eastAsia"/>
          <w:color w:val="FF0000"/>
          <w:lang w:eastAsia="zh-CN"/>
        </w:rPr>
        <w:t>但如果没有完成本年度的必修课程，必须完成才能进入考试。</w:t>
      </w:r>
      <w:r>
        <w:rPr>
          <w:rFonts w:hint="eastAsia"/>
          <w:lang w:eastAsia="zh-CN"/>
        </w:rPr>
        <w:t>学习完必修课程，点击“进入考场”进入考试。其操作界面同“日常测验”界面一样，只是“日常测验”的“退出”按钮变成了“保存答案”按钮，保存答案后刷新页面已做的题目仍然保存答案。如下图：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3580765" cy="6381115"/>
            <wp:effectExtent l="0" t="0" r="635" b="635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81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作答完成，点击交卷，考试完成，提示“您已交卷”。如下图：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52190" cy="6352540"/>
            <wp:effectExtent l="0" t="0" r="10160" b="1016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点击最下面的“年度考试”按钮，在最近考试得分中，我们可以看到考试得分情况。已考试再次点击进入考试则提示“您已交卷”。如下图：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571240" cy="6390640"/>
            <wp:effectExtent l="0" t="0" r="10160" b="10160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39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32"/>
          <w:szCs w:val="32"/>
        </w:rPr>
      </w:pPr>
      <w:bookmarkStart w:id="14" w:name="_Toc480638729"/>
      <w:bookmarkStart w:id="15" w:name="_Toc6802"/>
      <w:r>
        <w:rPr>
          <w:rFonts w:hint="eastAsia"/>
          <w:sz w:val="32"/>
          <w:szCs w:val="32"/>
          <w:lang w:eastAsia="zh-CN"/>
        </w:rPr>
        <w:t>五</w:t>
      </w:r>
      <w:bookmarkStart w:id="16" w:name="_GoBack"/>
      <w:bookmarkEnd w:id="16"/>
      <w:r>
        <w:rPr>
          <w:rFonts w:hint="eastAsia"/>
          <w:sz w:val="32"/>
          <w:szCs w:val="32"/>
        </w:rPr>
        <w:t>、统计信息</w:t>
      </w:r>
      <w:bookmarkEnd w:id="14"/>
      <w:bookmarkEnd w:id="15"/>
    </w:p>
    <w:p>
      <w:pPr>
        <w:ind w:firstLine="420"/>
      </w:pPr>
      <w:r>
        <w:rPr>
          <w:rFonts w:hint="eastAsia"/>
        </w:rPr>
        <w:t>点击</w:t>
      </w:r>
      <w:r>
        <w:rPr>
          <w:rFonts w:hint="eastAsia"/>
          <w:lang w:eastAsia="zh-CN"/>
        </w:rPr>
        <w:t>最</w:t>
      </w:r>
      <w:r>
        <w:rPr>
          <w:rFonts w:hint="eastAsia"/>
          <w:lang w:val="en-US" w:eastAsia="zh-CN"/>
        </w:rPr>
        <w:t>下方</w:t>
      </w:r>
      <w:r>
        <w:rPr>
          <w:rFonts w:hint="eastAsia"/>
        </w:rPr>
        <w:t>“统计信息”导航菜单。</w:t>
      </w:r>
      <w:r>
        <w:rPr>
          <w:rFonts w:hint="eastAsia"/>
          <w:lang w:val="en-US" w:eastAsia="zh-CN"/>
        </w:rPr>
        <w:t>可以看到“2017年学习情况统计”，其中包括最终成绩、综合得分以及获得学分。</w:t>
      </w:r>
      <w:r>
        <w:rPr>
          <w:rFonts w:hint="eastAsia"/>
        </w:rPr>
        <w:t>如下图：</w:t>
      </w:r>
    </w:p>
    <w:p>
      <w:r>
        <w:drawing>
          <wp:inline distT="0" distB="0" distL="114300" distR="114300">
            <wp:extent cx="3580765" cy="6352540"/>
            <wp:effectExtent l="0" t="0" r="635" b="10160"/>
            <wp:docPr id="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EBD7"/>
    <w:multiLevelType w:val="singleLevel"/>
    <w:tmpl w:val="5962EBD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62EFC1"/>
    <w:multiLevelType w:val="singleLevel"/>
    <w:tmpl w:val="5962EFC1"/>
    <w:lvl w:ilvl="0" w:tentative="0">
      <w:start w:val="1"/>
      <w:numFmt w:val="lowerLetter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1342"/>
    <w:rsid w:val="10221F11"/>
    <w:rsid w:val="108438B5"/>
    <w:rsid w:val="12C24835"/>
    <w:rsid w:val="16985CDF"/>
    <w:rsid w:val="24BB3514"/>
    <w:rsid w:val="26D03549"/>
    <w:rsid w:val="28C6654D"/>
    <w:rsid w:val="29070743"/>
    <w:rsid w:val="320A7A65"/>
    <w:rsid w:val="35CB5182"/>
    <w:rsid w:val="36302D99"/>
    <w:rsid w:val="37255F58"/>
    <w:rsid w:val="3A2A1C7D"/>
    <w:rsid w:val="3BA43876"/>
    <w:rsid w:val="3C9C3B1D"/>
    <w:rsid w:val="3E982FB4"/>
    <w:rsid w:val="40334728"/>
    <w:rsid w:val="42332E0B"/>
    <w:rsid w:val="42D837EF"/>
    <w:rsid w:val="44E207A6"/>
    <w:rsid w:val="476C59EC"/>
    <w:rsid w:val="479C389E"/>
    <w:rsid w:val="4DC225C2"/>
    <w:rsid w:val="4F473CAB"/>
    <w:rsid w:val="50D61DE3"/>
    <w:rsid w:val="51447B7A"/>
    <w:rsid w:val="52362495"/>
    <w:rsid w:val="552B7879"/>
    <w:rsid w:val="56861C24"/>
    <w:rsid w:val="576F7935"/>
    <w:rsid w:val="5A405C98"/>
    <w:rsid w:val="5BD94F85"/>
    <w:rsid w:val="636A3496"/>
    <w:rsid w:val="6AE33055"/>
    <w:rsid w:val="6BA17061"/>
    <w:rsid w:val="6E017B21"/>
    <w:rsid w:val="6E64690A"/>
    <w:rsid w:val="6E9B3E42"/>
    <w:rsid w:val="6F656B68"/>
    <w:rsid w:val="7A496832"/>
    <w:rsid w:val="7EF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eastAsia="宋体"/>
      <w:sz w:val="30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OC Heading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2017-07-12T04:25:45Z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